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639</w:t>
      </w:r>
    </w:p>
    <w:p>
      <w:r>
        <w:t>Bundesgericht (BGE), 2007-07-06, DE</w:t>
      </w:r>
    </w:p>
    <w:p>
      <w:r>
        <w:rPr>
          <w:b/>
        </w:rPr>
        <w:t xml:space="preserve">Quelle: </w:t>
      </w:r>
      <w:r>
        <w:t>https://mcp.opencaselaw.ch/entscheid/bge_133 III 639</w:t>
      </w:r>
    </w:p>
    <w:p>
      <w:r>
        <w:t>FR: ATF 133 III 639</w:t>
      </w:r>
    </w:p>
    <w:p>
      <w:r>
        <w:t>IT: DTF 133 III 639</w:t>
      </w:r>
    </w:p>
    <w:p>
      <w:pPr>
        <w:pStyle w:val="Heading2"/>
      </w:pPr>
      <w:r>
        <w:t>Regeste</w:t>
      </w:r>
    </w:p>
    <w:p>
      <w:r>
        <w:t>Regeste Art. 106 Abs. 2 BGG; Rügeprinzip. Der Anwendungsbereich entspricht demjenigen der früheren staatsrechtlichen Beschwerde wegen Verletzung verfassungsmässiger Rechte und es gelten die gleichen Begründungsanforderungen; desgleichen sind neue tatsächliche und rechtliche Vorbringen grundsätzlich unzulässig (E. 2).</w:t>
      </w:r>
    </w:p>
    <w:p>
      <w:pPr>
        <w:pStyle w:val="Heading2"/>
      </w:pPr>
      <w:r>
        <w:t>Erwägungen</w:t>
      </w:r>
    </w:p>
    <w:p>
      <w:r>
        <w:rPr>
          <w:b/>
        </w:rPr>
        <w:t>E. 2</w:t>
      </w:r>
    </w:p>
    <w:p>
      <w:r>
        <w:t>Bei der vorsorglichen Beweisführung handelt es sich um eine vorsorgliche Massnahme im Sinn von Art. 98 des Bundesgesetzes vom 17. Juni 2005 über das Bundesgericht (BGG; SR 173.110), womit nur die Verletzung verfassungsmässiger Rechte gerügt werden kann. Die Beschwerdeführerin macht denn auch ausschliesslich eine Verletzung des Prinzips der derogatorischen Kraft des Bundesrechts ( Art. 49 Abs. 1 BV ) sowie der Grundrechte der persönlichen Freiheit ( Art. 10 Abs. 2 BV ) und der Privatsphäre ( Art. 13 Abs. 1 BV ) geltend. Das Bundesgericht wendet das Recht in der Regel von Amtes wegen an (iura novit curia; Art. 106 Abs. 1 BGG ). Für bestimmte Vorbringen gilt indes das Rügeprinzip ( Art. 106 Abs. 2 BGG ). Soweit dieses zum Tragen kommt, gelten die gleichen Begründungsanforderungen, wie sie gestützt auf Art. 90 Abs. 1 lit. b OG für die staatsrechtliche Beschwerde gegolten haben ( BGE 133 II 249 E. 1.4.2 S. 254). Nach den Ausführungen in der Botschaft soll überdies auch der Anwendungsbereich des Rügeprinzips der bisherigen Praxis zur BGE 133 III 639 S. 640 staatsrechtlichen Beschwerde entsprechen (BBl 2001 S. 4344). Entgegen dem strikten Wortlaut von Art. 106 Abs. 2 BGG gilt es deshalb nicht nur für die Grundrechte im eigentlichen Sinn, sondern für die verfassungsmässigen Rechte überhaupt, folglich auch für das Prinzip der derogatorischen Kraft des Bundesrechts, das als verfassungsmässiges Individualrecht anerkannt ist ( BGE 123 I 221 E. 3d S. 238). Die Botschaft hält weiter fest, dass bei vorsorglichen Massnahmen im Sinn von Art. 98 BGG - wo das Recht nach dem Gesagten nicht von Amtes wegen angewandt wird, sondern das Rügeprinzip gilt - der Grundsatz von Treu und Glauben verbietet, der Vorinstanz bekannte rechtserhebliche Einwände vorzuenthalten und diese erst nach dem Ergehen eines ungünstigen Entscheides im anschliessenden Rechtsmittelverfahren zu erheben (BBl 2001 S. 4345 oben). Sie verweist damit auf die entsprechende Praxis zur staatsrechtlichen Beschwerde (z.B. BGE 119 Ia 221 E. 5a S. 228 f.; BGE 124 I 121 E. 2 S. 123) und in einem weiteren Sinn auf den Grundsatz, wonach bei dieser nicht nur neue tatsächliche, sondern auch neue rechtliche Vorbringen unzulässig waren ( BGE 118 Ia 20 E. 5a S. 26; BGE 128 I 354 E. 6c S. 357). Dieser Grundsatz ergibt sich auch aus dem Erfordernis der Letztinstanzlichkeit des angefochtenen Entscheides (Prinzip der relativen Subsidiarität) und fusst auf dem Gedanken, dass der Instanzenzug nicht nur prozessual durchlaufen, sondern auch materiell erschöpft sein muss. Zwar trat das Bundesgericht ausnahmsweise auf Rügen ein zu Gesichtspunkten, die sich aufdrängten und deshalb von der kantonalen Instanz hätten berücksichtigt werden müssen, oder zu denen erst die Begründung des angefochtenen Entscheides Anlass gab ( BGE 99 Ia 113 E. 4a S. 122), ferner im Zusammenhang mit Sachverhaltsabklärungen oder wenn die letzte kantonale Instanz volle Überprüfungsbefugnis besass und das Recht von Amtes wegen anzuwenden hatte ( BGE 107 Ia 187 E. 2b S. 191). All diese Ausnahmen standen aber unter dem Vorbehalt - worauf die eingangs zitierte Botschaft verweist -, dass mit den entsprechenden Rügen nicht in gegen den Grundsatz von Treu und Glauben verstossender Weise zugewartet wurde (Zitate vorstehend). Dies setzte voraus, dass der Beschwerdeführer den Mangel nicht gekannt hat (zum Ganzen: BGE 128 I 354 E. 6c S. 357 f.; KÄLIN, Das Verfahren der staatsrechtlichen Beschwerde, 2. Aufl., Bern 1994, S. 369 f.). Bei der Publikationsreferenz BGE 133 III 639 ist aus technischen Gründen die Seite 639 angegeben; die richtige Referenz lautet in Wirklichkeit BGE 133 III 638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